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3D891" w14:textId="3447499E" w:rsidR="00E20604" w:rsidRDefault="00827E0F" w:rsidP="00E20604">
      <w:pPr>
        <w:pStyle w:val="Header"/>
        <w:tabs>
          <w:tab w:val="left" w:pos="990"/>
          <w:tab w:val="left" w:pos="1080"/>
        </w:tabs>
        <w:jc w:val="right"/>
        <w:outlineLvl w:val="0"/>
      </w:pPr>
      <w:r>
        <w:object w:dxaOrig="1440" w:dyaOrig="1440" w14:anchorId="455C7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31.1pt;margin-top:0;width:67.3pt;height:64.5pt;z-index:251657728;mso-position-horizontal-relative:text;mso-position-vertical-relative:text">
            <v:imagedata r:id="rId8" o:title=""/>
            <w10:wrap type="topAndBottom"/>
          </v:shape>
          <o:OLEObject Type="Embed" ProgID="MSPhotoEd.3" ShapeID="_x0000_s1028" DrawAspect="Content" ObjectID="_1621162400" r:id="rId9"/>
        </w:object>
      </w:r>
      <w:r w:rsidR="004520DB">
        <w:rPr>
          <w:noProof/>
        </w:rPr>
        <mc:AlternateContent>
          <mc:Choice Requires="wps">
            <w:drawing>
              <wp:anchor distT="0" distB="0" distL="114300" distR="114300" simplePos="0" relativeHeight="251656704" behindDoc="0" locked="0" layoutInCell="0" allowOverlap="1" wp14:anchorId="556C3B6D" wp14:editId="6E02735D">
                <wp:simplePos x="0" y="0"/>
                <wp:positionH relativeFrom="column">
                  <wp:posOffset>760450</wp:posOffset>
                </wp:positionH>
                <wp:positionV relativeFrom="paragraph">
                  <wp:posOffset>-195580</wp:posOffset>
                </wp:positionV>
                <wp:extent cx="4484218" cy="1206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218" cy="1206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926B46" w14:textId="74F50884" w:rsidR="00F14D2E" w:rsidRPr="00A77350" w:rsidRDefault="00121EF3" w:rsidP="00F14D2E">
                            <w:pPr>
                              <w:pStyle w:val="Heading6"/>
                              <w:rPr>
                                <w:rFonts w:ascii="Arial" w:hAnsi="Arial" w:cs="Arial"/>
                                <w:b w:val="0"/>
                                <w:color w:val="404040" w:themeColor="text1" w:themeTint="BF"/>
                                <w:sz w:val="28"/>
                                <w:szCs w:val="28"/>
                              </w:rPr>
                            </w:pPr>
                            <w:r w:rsidRPr="00A77350">
                              <w:rPr>
                                <w:rFonts w:ascii="Arial" w:hAnsi="Arial" w:cs="Arial"/>
                                <w:b w:val="0"/>
                                <w:color w:val="404040" w:themeColor="text1" w:themeTint="BF"/>
                                <w:sz w:val="28"/>
                                <w:szCs w:val="28"/>
                              </w:rPr>
                              <w:t>Commonwealth of the Northern Mariana Islands</w:t>
                            </w:r>
                          </w:p>
                          <w:p w14:paraId="68F1FAA2" w14:textId="775494E1" w:rsidR="00121EF3" w:rsidRPr="00A77350" w:rsidRDefault="00121EF3" w:rsidP="00F14D2E">
                            <w:pPr>
                              <w:pStyle w:val="Heading6"/>
                              <w:rPr>
                                <w:rFonts w:ascii="Arial" w:hAnsi="Arial" w:cs="Arial"/>
                                <w:color w:val="404040" w:themeColor="text1" w:themeTint="BF"/>
                              </w:rPr>
                            </w:pPr>
                            <w:r w:rsidRPr="00A77350">
                              <w:rPr>
                                <w:rFonts w:ascii="Arial" w:hAnsi="Arial" w:cs="Arial"/>
                                <w:color w:val="404040" w:themeColor="text1" w:themeTint="BF"/>
                              </w:rPr>
                              <w:t>DEPARTMENT OF LABOR</w:t>
                            </w:r>
                          </w:p>
                          <w:p w14:paraId="60A947B2" w14:textId="30380DB1" w:rsidR="00250AE8" w:rsidRPr="00A77350" w:rsidRDefault="00250AE8" w:rsidP="00F14D2E">
                            <w:pPr>
                              <w:rPr>
                                <w:rFonts w:ascii="Arial" w:hAnsi="Arial" w:cs="Arial"/>
                                <w:smallCaps/>
                                <w:color w:val="404040" w:themeColor="text1" w:themeTint="BF"/>
                                <w:sz w:val="32"/>
                              </w:rPr>
                            </w:pPr>
                            <w:r w:rsidRPr="00A77350">
                              <w:rPr>
                                <w:rFonts w:ascii="Arial" w:hAnsi="Arial" w:cs="Arial"/>
                                <w:smallCaps/>
                                <w:color w:val="404040" w:themeColor="text1" w:themeTint="BF"/>
                                <w:sz w:val="32"/>
                              </w:rPr>
                              <w:t>Office of the Secretary</w:t>
                            </w:r>
                          </w:p>
                          <w:p w14:paraId="0F181DC4" w14:textId="173CB96A" w:rsidR="00121EF3" w:rsidRPr="00A77350" w:rsidRDefault="00121EF3" w:rsidP="00F14D2E">
                            <w:pPr>
                              <w:rPr>
                                <w:rFonts w:ascii="Arial" w:hAnsi="Arial" w:cs="Arial"/>
                                <w:color w:val="404040" w:themeColor="text1" w:themeTint="BF"/>
                              </w:rPr>
                            </w:pPr>
                            <w:r w:rsidRPr="00A77350">
                              <w:rPr>
                                <w:rFonts w:ascii="Arial" w:hAnsi="Arial" w:cs="Arial"/>
                                <w:color w:val="404040" w:themeColor="text1" w:themeTint="BF"/>
                              </w:rPr>
                              <w:t>135</w:t>
                            </w:r>
                            <w:r w:rsidR="000B7F38" w:rsidRPr="00A77350">
                              <w:rPr>
                                <w:rFonts w:ascii="Arial" w:hAnsi="Arial" w:cs="Arial"/>
                                <w:color w:val="404040" w:themeColor="text1" w:themeTint="BF"/>
                              </w:rPr>
                              <w:t>6</w:t>
                            </w:r>
                            <w:r w:rsidRPr="00A77350">
                              <w:rPr>
                                <w:rFonts w:ascii="Arial" w:hAnsi="Arial" w:cs="Arial"/>
                                <w:color w:val="404040" w:themeColor="text1" w:themeTint="BF"/>
                              </w:rPr>
                              <w:t xml:space="preserve"> </w:t>
                            </w:r>
                            <w:r w:rsidR="000201FA" w:rsidRPr="00A77350">
                              <w:rPr>
                                <w:rFonts w:ascii="Arial" w:hAnsi="Arial" w:cs="Arial"/>
                                <w:color w:val="404040" w:themeColor="text1" w:themeTint="BF"/>
                              </w:rPr>
                              <w:t>Mednilla Avenue,</w:t>
                            </w:r>
                            <w:r w:rsidRPr="00A77350">
                              <w:rPr>
                                <w:rFonts w:ascii="Arial" w:hAnsi="Arial" w:cs="Arial"/>
                                <w:color w:val="404040" w:themeColor="text1" w:themeTint="BF"/>
                              </w:rPr>
                              <w:t xml:space="preserve"> Capitol Hill, P.O. Box 10007, Saipan MP 96950</w:t>
                            </w:r>
                          </w:p>
                          <w:p w14:paraId="2B3A983C" w14:textId="55CC661E" w:rsidR="00121EF3" w:rsidRPr="00A77350" w:rsidRDefault="00121EF3" w:rsidP="00F14D2E">
                            <w:pPr>
                              <w:rPr>
                                <w:rFonts w:ascii="Arial" w:hAnsi="Arial" w:cs="Arial"/>
                                <w:color w:val="404040" w:themeColor="text1" w:themeTint="BF"/>
                              </w:rPr>
                            </w:pPr>
                            <w:r w:rsidRPr="00A77350">
                              <w:rPr>
                                <w:rFonts w:ascii="Arial" w:hAnsi="Arial" w:cs="Arial"/>
                                <w:color w:val="404040" w:themeColor="text1" w:themeTint="BF"/>
                              </w:rPr>
                              <w:t xml:space="preserve">Telephone no. (670) </w:t>
                            </w:r>
                            <w:r w:rsidR="000B7F38" w:rsidRPr="00A77350">
                              <w:rPr>
                                <w:rFonts w:ascii="Arial" w:hAnsi="Arial" w:cs="Arial"/>
                                <w:color w:val="404040" w:themeColor="text1" w:themeTint="BF"/>
                              </w:rPr>
                              <w:t>664</w:t>
                            </w:r>
                            <w:r w:rsidR="000201FA" w:rsidRPr="00A77350">
                              <w:rPr>
                                <w:rFonts w:ascii="Arial" w:hAnsi="Arial" w:cs="Arial"/>
                                <w:color w:val="404040" w:themeColor="text1" w:themeTint="BF"/>
                              </w:rPr>
                              <w:t>-</w:t>
                            </w:r>
                            <w:r w:rsidR="000B7F38" w:rsidRPr="00A77350">
                              <w:rPr>
                                <w:rFonts w:ascii="Arial" w:hAnsi="Arial" w:cs="Arial"/>
                                <w:color w:val="404040" w:themeColor="text1" w:themeTint="BF"/>
                              </w:rPr>
                              <w:t>3196</w:t>
                            </w:r>
                            <w:r w:rsidRPr="00A77350">
                              <w:rPr>
                                <w:rFonts w:ascii="Arial" w:hAnsi="Arial" w:cs="Arial"/>
                                <w:color w:val="404040" w:themeColor="text1" w:themeTint="BF"/>
                              </w:rPr>
                              <w:t xml:space="preserve"> </w:t>
                            </w:r>
                            <w:r w:rsidR="00F14D2E" w:rsidRPr="00A77350">
                              <w:rPr>
                                <w:rFonts w:ascii="Arial" w:hAnsi="Arial" w:cs="Arial"/>
                                <w:color w:val="404040" w:themeColor="text1" w:themeTint="BF"/>
                              </w:rPr>
                              <w:t>|</w:t>
                            </w:r>
                            <w:r w:rsidR="003A3F80" w:rsidRPr="00A77350">
                              <w:rPr>
                                <w:rFonts w:ascii="Arial" w:hAnsi="Arial" w:cs="Arial"/>
                                <w:color w:val="404040" w:themeColor="text1" w:themeTint="BF"/>
                              </w:rPr>
                              <w:t xml:space="preserve"> </w:t>
                            </w:r>
                            <w:r w:rsidRPr="00A77350">
                              <w:rPr>
                                <w:rFonts w:ascii="Arial" w:hAnsi="Arial" w:cs="Arial"/>
                                <w:color w:val="404040" w:themeColor="text1" w:themeTint="BF"/>
                              </w:rPr>
                              <w:t>Facsimile no. (670) 664-3197</w:t>
                            </w:r>
                          </w:p>
                          <w:p w14:paraId="275ABAEB" w14:textId="0E8817C5" w:rsidR="003A3F80" w:rsidRPr="00A77350" w:rsidRDefault="003A3F80" w:rsidP="00F14D2E">
                            <w:pPr>
                              <w:rPr>
                                <w:rFonts w:ascii="Arial" w:hAnsi="Arial" w:cs="Arial"/>
                                <w:color w:val="404040" w:themeColor="text1" w:themeTint="BF"/>
                              </w:rPr>
                            </w:pPr>
                            <w:r w:rsidRPr="00A77350">
                              <w:rPr>
                                <w:rFonts w:ascii="Arial" w:hAnsi="Arial" w:cs="Arial"/>
                                <w:color w:val="404040" w:themeColor="text1" w:themeTint="BF"/>
                              </w:rPr>
                              <w:t>www.marianaslabor.net</w:t>
                            </w:r>
                          </w:p>
                          <w:p w14:paraId="2A6DBFA5" w14:textId="77777777" w:rsidR="003A3F80" w:rsidRPr="00250AE8" w:rsidRDefault="003A3F80" w:rsidP="00E20604">
                            <w:pPr>
                              <w:jc w:val="center"/>
                              <w:rPr>
                                <w:rFonts w:ascii="Arial" w:hAnsi="Arial" w:cs="Arial"/>
                                <w:color w:val="0F243E" w:themeColor="text2"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C3B6D" id="_x0000_t202" coordsize="21600,21600" o:spt="202" path="m,l,21600r21600,l21600,xe">
                <v:stroke joinstyle="miter"/>
                <v:path gradientshapeok="t" o:connecttype="rect"/>
              </v:shapetype>
              <v:shape id="Text Box 3" o:spid="_x0000_s1026" type="#_x0000_t202" style="position:absolute;left:0;text-align:left;margin-left:59.9pt;margin-top:-15.4pt;width:353.1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WBSQIAAE0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" o:allowincell="f" filled="f" stroked="f">
                <v:textbox>
                  <w:txbxContent>
                    <w:p w14:paraId="7F926B46" w14:textId="74F50884" w:rsidR="00F14D2E" w:rsidRPr="00A77350" w:rsidRDefault="00121EF3" w:rsidP="00F14D2E">
                      <w:pPr>
                        <w:pStyle w:val="Heading6"/>
                        <w:rPr>
                          <w:rFonts w:ascii="Arial" w:hAnsi="Arial" w:cs="Arial"/>
                          <w:b w:val="0"/>
                          <w:color w:val="404040" w:themeColor="text1" w:themeTint="BF"/>
                          <w:sz w:val="28"/>
                          <w:szCs w:val="28"/>
                        </w:rPr>
                      </w:pPr>
                      <w:r w:rsidRPr="00A77350">
                        <w:rPr>
                          <w:rFonts w:ascii="Arial" w:hAnsi="Arial" w:cs="Arial"/>
                          <w:b w:val="0"/>
                          <w:color w:val="404040" w:themeColor="text1" w:themeTint="BF"/>
                          <w:sz w:val="28"/>
                          <w:szCs w:val="28"/>
                        </w:rPr>
                        <w:t>Commonwealth of the Northern Mariana Islands</w:t>
                      </w:r>
                    </w:p>
                    <w:p w14:paraId="68F1FAA2" w14:textId="775494E1" w:rsidR="00121EF3" w:rsidRPr="00A77350" w:rsidRDefault="00121EF3" w:rsidP="00F14D2E">
                      <w:pPr>
                        <w:pStyle w:val="Heading6"/>
                        <w:rPr>
                          <w:rFonts w:ascii="Arial" w:hAnsi="Arial" w:cs="Arial"/>
                          <w:color w:val="404040" w:themeColor="text1" w:themeTint="BF"/>
                        </w:rPr>
                      </w:pPr>
                      <w:r w:rsidRPr="00A77350">
                        <w:rPr>
                          <w:rFonts w:ascii="Arial" w:hAnsi="Arial" w:cs="Arial"/>
                          <w:color w:val="404040" w:themeColor="text1" w:themeTint="BF"/>
                        </w:rPr>
                        <w:t>DEPARTMENT OF LABOR</w:t>
                      </w:r>
                    </w:p>
                    <w:p w14:paraId="60A947B2" w14:textId="30380DB1" w:rsidR="00250AE8" w:rsidRPr="00A77350" w:rsidRDefault="00250AE8" w:rsidP="00F14D2E">
                      <w:pPr>
                        <w:rPr>
                          <w:rFonts w:ascii="Arial" w:hAnsi="Arial" w:cs="Arial"/>
                          <w:smallCaps/>
                          <w:color w:val="404040" w:themeColor="text1" w:themeTint="BF"/>
                          <w:sz w:val="32"/>
                        </w:rPr>
                      </w:pPr>
                      <w:r w:rsidRPr="00A77350">
                        <w:rPr>
                          <w:rFonts w:ascii="Arial" w:hAnsi="Arial" w:cs="Arial"/>
                          <w:smallCaps/>
                          <w:color w:val="404040" w:themeColor="text1" w:themeTint="BF"/>
                          <w:sz w:val="32"/>
                        </w:rPr>
                        <w:t>Office of the Secretary</w:t>
                      </w:r>
                    </w:p>
                    <w:p w14:paraId="0F181DC4" w14:textId="173CB96A" w:rsidR="00121EF3" w:rsidRPr="00A77350" w:rsidRDefault="00121EF3" w:rsidP="00F14D2E">
                      <w:pPr>
                        <w:rPr>
                          <w:rFonts w:ascii="Arial" w:hAnsi="Arial" w:cs="Arial"/>
                          <w:color w:val="404040" w:themeColor="text1" w:themeTint="BF"/>
                        </w:rPr>
                      </w:pPr>
                      <w:r w:rsidRPr="00A77350">
                        <w:rPr>
                          <w:rFonts w:ascii="Arial" w:hAnsi="Arial" w:cs="Arial"/>
                          <w:color w:val="404040" w:themeColor="text1" w:themeTint="BF"/>
                        </w:rPr>
                        <w:t>135</w:t>
                      </w:r>
                      <w:r w:rsidR="000B7F38" w:rsidRPr="00A77350">
                        <w:rPr>
                          <w:rFonts w:ascii="Arial" w:hAnsi="Arial" w:cs="Arial"/>
                          <w:color w:val="404040" w:themeColor="text1" w:themeTint="BF"/>
                        </w:rPr>
                        <w:t>6</w:t>
                      </w:r>
                      <w:r w:rsidRPr="00A77350">
                        <w:rPr>
                          <w:rFonts w:ascii="Arial" w:hAnsi="Arial" w:cs="Arial"/>
                          <w:color w:val="404040" w:themeColor="text1" w:themeTint="BF"/>
                        </w:rPr>
                        <w:t xml:space="preserve"> </w:t>
                      </w:r>
                      <w:r w:rsidR="000201FA" w:rsidRPr="00A77350">
                        <w:rPr>
                          <w:rFonts w:ascii="Arial" w:hAnsi="Arial" w:cs="Arial"/>
                          <w:color w:val="404040" w:themeColor="text1" w:themeTint="BF"/>
                        </w:rPr>
                        <w:t>Mednilla Avenue,</w:t>
                      </w:r>
                      <w:r w:rsidRPr="00A77350">
                        <w:rPr>
                          <w:rFonts w:ascii="Arial" w:hAnsi="Arial" w:cs="Arial"/>
                          <w:color w:val="404040" w:themeColor="text1" w:themeTint="BF"/>
                        </w:rPr>
                        <w:t xml:space="preserve"> Capitol Hill, P.O. Box 10007, Saipan MP 96950</w:t>
                      </w:r>
                    </w:p>
                    <w:p w14:paraId="2B3A983C" w14:textId="55CC661E" w:rsidR="00121EF3" w:rsidRPr="00A77350" w:rsidRDefault="00121EF3" w:rsidP="00F14D2E">
                      <w:pPr>
                        <w:rPr>
                          <w:rFonts w:ascii="Arial" w:hAnsi="Arial" w:cs="Arial"/>
                          <w:color w:val="404040" w:themeColor="text1" w:themeTint="BF"/>
                        </w:rPr>
                      </w:pPr>
                      <w:r w:rsidRPr="00A77350">
                        <w:rPr>
                          <w:rFonts w:ascii="Arial" w:hAnsi="Arial" w:cs="Arial"/>
                          <w:color w:val="404040" w:themeColor="text1" w:themeTint="BF"/>
                        </w:rPr>
                        <w:t xml:space="preserve">Telephone no. (670) </w:t>
                      </w:r>
                      <w:r w:rsidR="000B7F38" w:rsidRPr="00A77350">
                        <w:rPr>
                          <w:rFonts w:ascii="Arial" w:hAnsi="Arial" w:cs="Arial"/>
                          <w:color w:val="404040" w:themeColor="text1" w:themeTint="BF"/>
                        </w:rPr>
                        <w:t>664</w:t>
                      </w:r>
                      <w:r w:rsidR="000201FA" w:rsidRPr="00A77350">
                        <w:rPr>
                          <w:rFonts w:ascii="Arial" w:hAnsi="Arial" w:cs="Arial"/>
                          <w:color w:val="404040" w:themeColor="text1" w:themeTint="BF"/>
                        </w:rPr>
                        <w:t>-</w:t>
                      </w:r>
                      <w:r w:rsidR="000B7F38" w:rsidRPr="00A77350">
                        <w:rPr>
                          <w:rFonts w:ascii="Arial" w:hAnsi="Arial" w:cs="Arial"/>
                          <w:color w:val="404040" w:themeColor="text1" w:themeTint="BF"/>
                        </w:rPr>
                        <w:t>3196</w:t>
                      </w:r>
                      <w:r w:rsidRPr="00A77350">
                        <w:rPr>
                          <w:rFonts w:ascii="Arial" w:hAnsi="Arial" w:cs="Arial"/>
                          <w:color w:val="404040" w:themeColor="text1" w:themeTint="BF"/>
                        </w:rPr>
                        <w:t xml:space="preserve"> </w:t>
                      </w:r>
                      <w:r w:rsidR="00F14D2E" w:rsidRPr="00A77350">
                        <w:rPr>
                          <w:rFonts w:ascii="Arial" w:hAnsi="Arial" w:cs="Arial"/>
                          <w:color w:val="404040" w:themeColor="text1" w:themeTint="BF"/>
                        </w:rPr>
                        <w:t>|</w:t>
                      </w:r>
                      <w:r w:rsidR="003A3F80" w:rsidRPr="00A77350">
                        <w:rPr>
                          <w:rFonts w:ascii="Arial" w:hAnsi="Arial" w:cs="Arial"/>
                          <w:color w:val="404040" w:themeColor="text1" w:themeTint="BF"/>
                        </w:rPr>
                        <w:t xml:space="preserve"> </w:t>
                      </w:r>
                      <w:r w:rsidRPr="00A77350">
                        <w:rPr>
                          <w:rFonts w:ascii="Arial" w:hAnsi="Arial" w:cs="Arial"/>
                          <w:color w:val="404040" w:themeColor="text1" w:themeTint="BF"/>
                        </w:rPr>
                        <w:t>Facsimile no. (670) 664-3197</w:t>
                      </w:r>
                    </w:p>
                    <w:p w14:paraId="275ABAEB" w14:textId="0E8817C5" w:rsidR="003A3F80" w:rsidRPr="00A77350" w:rsidRDefault="003A3F80" w:rsidP="00F14D2E">
                      <w:pPr>
                        <w:rPr>
                          <w:rFonts w:ascii="Arial" w:hAnsi="Arial" w:cs="Arial"/>
                          <w:color w:val="404040" w:themeColor="text1" w:themeTint="BF"/>
                        </w:rPr>
                      </w:pPr>
                      <w:r w:rsidRPr="00A77350">
                        <w:rPr>
                          <w:rFonts w:ascii="Arial" w:hAnsi="Arial" w:cs="Arial"/>
                          <w:color w:val="404040" w:themeColor="text1" w:themeTint="BF"/>
                        </w:rPr>
                        <w:t>www.marianaslabor.net</w:t>
                      </w:r>
                    </w:p>
                    <w:p w14:paraId="2A6DBFA5" w14:textId="77777777" w:rsidR="003A3F80" w:rsidRPr="00250AE8" w:rsidRDefault="003A3F80" w:rsidP="00E20604">
                      <w:pPr>
                        <w:jc w:val="center"/>
                        <w:rPr>
                          <w:rFonts w:ascii="Arial" w:hAnsi="Arial" w:cs="Arial"/>
                          <w:color w:val="0F243E" w:themeColor="text2" w:themeShade="80"/>
                        </w:rPr>
                      </w:pPr>
                    </w:p>
                  </w:txbxContent>
                </v:textbox>
              </v:shape>
            </w:pict>
          </mc:Fallback>
        </mc:AlternateContent>
      </w:r>
      <w:r>
        <w:object w:dxaOrig="1440" w:dyaOrig="1440" w14:anchorId="06F743B1">
          <v:shape id="_x0000_s1030" type="#_x0000_t75" style="position:absolute;left:0;text-align:left;margin-left:-35.25pt;margin-top:-.8pt;width:68.25pt;height:65.4pt;z-index:-251656704;visibility:visible;mso-wrap-edited:f;mso-position-horizontal-relative:text;mso-position-vertical-relative:text">
            <v:imagedata r:id="rId10" o:title=""/>
          </v:shape>
          <o:OLEObject Type="Embed" ProgID="Word.Picture.8" ShapeID="_x0000_s1030" DrawAspect="Content" ObjectID="_1621162401" r:id="rId11"/>
        </w:object>
      </w:r>
      <w:r w:rsidR="00E20604">
        <w:rPr>
          <w:rFonts w:ascii="Book Antiqua" w:hAnsi="Book Antiqua"/>
        </w:rPr>
        <w:t xml:space="preserve">     </w:t>
      </w:r>
    </w:p>
    <w:p w14:paraId="11280241" w14:textId="28B63599" w:rsidR="00E20604" w:rsidRDefault="00E20604" w:rsidP="00E20604">
      <w:pPr>
        <w:pStyle w:val="EnvelopeReturn"/>
        <w:ind w:left="720"/>
        <w:jc w:val="center"/>
        <w:rPr>
          <w:b/>
          <w:bCs/>
          <w:color w:val="000080"/>
        </w:rPr>
      </w:pPr>
      <w:r>
        <w:rPr>
          <w:b/>
          <w:bCs/>
          <w:color w:val="000080"/>
        </w:rPr>
        <w:t xml:space="preserve">                                                                                                                                                  </w:t>
      </w:r>
    </w:p>
    <w:p w14:paraId="5B80ACCC" w14:textId="77777777" w:rsidR="00A91C52" w:rsidRDefault="00A91C52" w:rsidP="00F14D2E">
      <w:pPr>
        <w:pStyle w:val="NoSpacing"/>
        <w:rPr>
          <w:b/>
          <w:color w:val="000000" w:themeColor="text1"/>
        </w:rPr>
      </w:pPr>
    </w:p>
    <w:p w14:paraId="093BD4CD" w14:textId="395A627A" w:rsidR="00A91C52" w:rsidRPr="00A91C52" w:rsidRDefault="00A91C52" w:rsidP="00F14D2E">
      <w:pPr>
        <w:pStyle w:val="NoSpacing"/>
        <w:jc w:val="center"/>
        <w:rPr>
          <w:b/>
          <w:color w:val="000000" w:themeColor="text1"/>
        </w:rPr>
      </w:pPr>
      <w:r w:rsidRPr="00A91C52">
        <w:rPr>
          <w:b/>
          <w:color w:val="000000" w:themeColor="text1"/>
        </w:rPr>
        <w:t>NOTICE TO EMPLOYERS</w:t>
      </w:r>
    </w:p>
    <w:p w14:paraId="575F82E7" w14:textId="77777777" w:rsidR="00A91C52" w:rsidRPr="00A91C52" w:rsidRDefault="00A91C52" w:rsidP="00F14D2E">
      <w:pPr>
        <w:pStyle w:val="NoSpacing"/>
        <w:rPr>
          <w:b/>
          <w:color w:val="000000" w:themeColor="text1"/>
        </w:rPr>
      </w:pPr>
    </w:p>
    <w:p w14:paraId="062DCE3C" w14:textId="77777777" w:rsidR="00A91C52" w:rsidRPr="00A77350" w:rsidRDefault="00A91C52" w:rsidP="00F14D2E">
      <w:pPr>
        <w:pStyle w:val="NoSpacing"/>
        <w:rPr>
          <w:color w:val="404040" w:themeColor="text1" w:themeTint="BF"/>
        </w:rPr>
      </w:pPr>
      <w:r w:rsidRPr="00A77350">
        <w:rPr>
          <w:color w:val="404040" w:themeColor="text1" w:themeTint="BF"/>
        </w:rPr>
        <w:t>In accordance with § 80-20.1 Employment Rules and Regulations of the Northern Mariana Islands Administrative Code (NMIAC), the CNMI Department of Labor (DOL) mandates compliance of the following for all eligible business employers. Failure or refusal to comply is cause for the CNMI DOL to issue a Notice of Violation to the employer and may also result in fines and other sanctions following a due process hearing in the Administrative Hearing Office.</w:t>
      </w:r>
    </w:p>
    <w:p w14:paraId="264D8002" w14:textId="77777777" w:rsidR="00A91C52" w:rsidRPr="00A77350" w:rsidRDefault="00A91C52" w:rsidP="00F14D2E">
      <w:pPr>
        <w:pStyle w:val="NoSpacing"/>
        <w:rPr>
          <w:color w:val="404040" w:themeColor="text1" w:themeTint="BF"/>
        </w:rPr>
      </w:pPr>
    </w:p>
    <w:p w14:paraId="063486A6" w14:textId="77777777" w:rsidR="00A91C52" w:rsidRPr="00A77350" w:rsidRDefault="00A91C52" w:rsidP="00F14D2E">
      <w:pPr>
        <w:pStyle w:val="NoSpacing"/>
        <w:numPr>
          <w:ilvl w:val="0"/>
          <w:numId w:val="6"/>
        </w:numPr>
        <w:ind w:left="360"/>
        <w:rPr>
          <w:b/>
          <w:color w:val="404040" w:themeColor="text1" w:themeTint="BF"/>
        </w:rPr>
      </w:pPr>
      <w:r w:rsidRPr="00A77350">
        <w:rPr>
          <w:b/>
          <w:color w:val="404040" w:themeColor="text1" w:themeTint="BF"/>
          <w:u w:val="single"/>
        </w:rPr>
        <w:t>Post Job Vacancy Announcement on CNMI DOL Website</w:t>
      </w:r>
    </w:p>
    <w:p w14:paraId="281E5171" w14:textId="77777777" w:rsidR="00A91C52" w:rsidRPr="00A77350" w:rsidRDefault="00A91C52" w:rsidP="00F14D2E">
      <w:pPr>
        <w:pStyle w:val="NoSpacing"/>
        <w:rPr>
          <w:i/>
          <w:color w:val="404040" w:themeColor="text1" w:themeTint="BF"/>
        </w:rPr>
      </w:pPr>
      <w:r w:rsidRPr="00A77350">
        <w:rPr>
          <w:color w:val="404040" w:themeColor="text1" w:themeTint="BF"/>
        </w:rPr>
        <w:t xml:space="preserve">An employer who intends to employ a foreign national worker, transitional worker, or nonimmigrant alien on a full-time basis (under any new employment arrangement, any renewal of any existing employment arrangement, or any </w:t>
      </w:r>
      <w:bookmarkStart w:id="0" w:name="_GoBack"/>
      <w:bookmarkEnd w:id="0"/>
      <w:r w:rsidRPr="00A77350">
        <w:rPr>
          <w:color w:val="404040" w:themeColor="text1" w:themeTint="BF"/>
        </w:rPr>
        <w:t xml:space="preserve">transfer) must post a job vacancy announcement on the Department’s website at www.marianaslabor.net. </w:t>
      </w:r>
      <w:r w:rsidRPr="00A77350">
        <w:rPr>
          <w:i/>
          <w:color w:val="404040" w:themeColor="text1" w:themeTint="BF"/>
        </w:rPr>
        <w:t>NMIAC § 80-20.1-225(a).</w:t>
      </w:r>
      <w:r w:rsidRPr="00A77350">
        <w:rPr>
          <w:color w:val="404040" w:themeColor="text1" w:themeTint="BF"/>
        </w:rPr>
        <w:t xml:space="preserve"> No waiver is available for the job vacancy announcement requirement. </w:t>
      </w:r>
      <w:r w:rsidRPr="00A77350">
        <w:rPr>
          <w:i/>
          <w:color w:val="404040" w:themeColor="text1" w:themeTint="BF"/>
        </w:rPr>
        <w:t>NMIAC § 80-20.1-225(e).</w:t>
      </w:r>
    </w:p>
    <w:p w14:paraId="2E272C4D" w14:textId="77777777" w:rsidR="00A91C52" w:rsidRPr="00A77350" w:rsidRDefault="00A91C52" w:rsidP="00F14D2E">
      <w:pPr>
        <w:pStyle w:val="NoSpacing"/>
        <w:rPr>
          <w:i/>
          <w:color w:val="404040" w:themeColor="text1" w:themeTint="BF"/>
        </w:rPr>
      </w:pPr>
      <w:r w:rsidRPr="00A77350">
        <w:rPr>
          <w:i/>
          <w:color w:val="404040" w:themeColor="text1" w:themeTint="BF"/>
        </w:rPr>
        <w:tab/>
      </w:r>
    </w:p>
    <w:p w14:paraId="2FDB4E0E" w14:textId="3F97352D" w:rsidR="00A91C52" w:rsidRPr="00A77350" w:rsidRDefault="00A91C52" w:rsidP="00F14D2E">
      <w:pPr>
        <w:pStyle w:val="NoSpacing"/>
        <w:numPr>
          <w:ilvl w:val="0"/>
          <w:numId w:val="6"/>
        </w:numPr>
        <w:ind w:left="360"/>
        <w:rPr>
          <w:b/>
          <w:color w:val="404040" w:themeColor="text1" w:themeTint="BF"/>
        </w:rPr>
      </w:pPr>
      <w:r w:rsidRPr="00A77350">
        <w:rPr>
          <w:b/>
          <w:color w:val="404040" w:themeColor="text1" w:themeTint="BF"/>
          <w:u w:val="single"/>
        </w:rPr>
        <w:t>Submit Total Workforce Listing</w:t>
      </w:r>
      <w:r w:rsidR="00F14D2E" w:rsidRPr="00A77350">
        <w:rPr>
          <w:b/>
          <w:color w:val="404040" w:themeColor="text1" w:themeTint="BF"/>
          <w:u w:val="single"/>
        </w:rPr>
        <w:t xml:space="preserve"> E</w:t>
      </w:r>
      <w:r w:rsidRPr="00A77350">
        <w:rPr>
          <w:b/>
          <w:color w:val="404040" w:themeColor="text1" w:themeTint="BF"/>
          <w:u w:val="single"/>
        </w:rPr>
        <w:t xml:space="preserve">ach </w:t>
      </w:r>
      <w:r w:rsidR="00F14D2E" w:rsidRPr="00A77350">
        <w:rPr>
          <w:b/>
          <w:color w:val="404040" w:themeColor="text1" w:themeTint="BF"/>
          <w:u w:val="single"/>
        </w:rPr>
        <w:t>Q</w:t>
      </w:r>
      <w:r w:rsidRPr="00A77350">
        <w:rPr>
          <w:b/>
          <w:color w:val="404040" w:themeColor="text1" w:themeTint="BF"/>
          <w:u w:val="single"/>
        </w:rPr>
        <w:t>uarter</w:t>
      </w:r>
    </w:p>
    <w:p w14:paraId="0B4E3EE3" w14:textId="77777777" w:rsidR="00A91C52" w:rsidRPr="00A77350" w:rsidRDefault="00A91C52" w:rsidP="00F14D2E">
      <w:pPr>
        <w:pStyle w:val="NoSpacing"/>
        <w:rPr>
          <w:color w:val="404040" w:themeColor="text1" w:themeTint="BF"/>
        </w:rPr>
      </w:pPr>
      <w:r w:rsidRPr="00A77350">
        <w:rPr>
          <w:color w:val="404040" w:themeColor="text1" w:themeTint="BF"/>
        </w:rPr>
        <w:t xml:space="preserve">Each business employer </w:t>
      </w:r>
      <w:r w:rsidRPr="00A77350">
        <w:rPr>
          <w:b/>
          <w:i/>
          <w:color w:val="404040" w:themeColor="text1" w:themeTint="BF"/>
        </w:rPr>
        <w:t>shall report quarterly</w:t>
      </w:r>
      <w:r w:rsidRPr="00A77350">
        <w:rPr>
          <w:color w:val="404040" w:themeColor="text1" w:themeTint="BF"/>
        </w:rPr>
        <w:t xml:space="preserve">, as of the last day of the calendar quarter and within the time limits for filing the business gross receipts tax return, the number and classification of employees for whom wages were paid during the quarter. </w:t>
      </w:r>
      <w:r w:rsidRPr="00A77350">
        <w:rPr>
          <w:i/>
          <w:color w:val="404040" w:themeColor="text1" w:themeTint="BF"/>
        </w:rPr>
        <w:t>NMIAC· § 80-20.1-505(b).</w:t>
      </w:r>
      <w:r w:rsidRPr="00A77350">
        <w:rPr>
          <w:color w:val="404040" w:themeColor="text1" w:themeTint="BF"/>
        </w:rPr>
        <w:t xml:space="preserve"> The Department requires employers to present this information in a document called "Total Workforce Listing."</w:t>
      </w:r>
    </w:p>
    <w:p w14:paraId="53CF4F19" w14:textId="77777777" w:rsidR="00A91C52" w:rsidRPr="00A77350" w:rsidRDefault="00A91C52" w:rsidP="00F14D2E">
      <w:pPr>
        <w:pStyle w:val="NoSpacing"/>
        <w:rPr>
          <w:color w:val="404040" w:themeColor="text1" w:themeTint="BF"/>
        </w:rPr>
      </w:pPr>
    </w:p>
    <w:p w14:paraId="531A5A9B" w14:textId="77777777" w:rsidR="00A91C52" w:rsidRPr="00A77350" w:rsidRDefault="00A91C52" w:rsidP="00F14D2E">
      <w:pPr>
        <w:pStyle w:val="NoSpacing"/>
        <w:rPr>
          <w:color w:val="404040" w:themeColor="text1" w:themeTint="BF"/>
        </w:rPr>
      </w:pPr>
      <w:r w:rsidRPr="00A77350">
        <w:rPr>
          <w:color w:val="404040" w:themeColor="text1" w:themeTint="BF"/>
        </w:rPr>
        <w:t>The Total Workforce Listing is due after the end of each quarter and on the last day of the month following the quarter:</w:t>
      </w:r>
      <w:r w:rsidRPr="00A77350">
        <w:rPr>
          <w:color w:val="404040" w:themeColor="text1" w:themeTint="BF"/>
        </w:rPr>
        <w:tab/>
      </w:r>
    </w:p>
    <w:p w14:paraId="3512D50F" w14:textId="0F072005" w:rsidR="00A91C52" w:rsidRPr="00A77350" w:rsidRDefault="00A91C52" w:rsidP="004520DB">
      <w:pPr>
        <w:pStyle w:val="NoSpacing"/>
        <w:tabs>
          <w:tab w:val="left" w:leader="dot" w:pos="5040"/>
          <w:tab w:val="decimal" w:leader="dot" w:pos="5760"/>
          <w:tab w:val="decimal" w:leader="dot" w:pos="8640"/>
        </w:tabs>
        <w:ind w:left="720" w:firstLine="720"/>
        <w:rPr>
          <w:color w:val="404040" w:themeColor="text1" w:themeTint="BF"/>
        </w:rPr>
      </w:pPr>
      <w:r w:rsidRPr="00A77350">
        <w:rPr>
          <w:color w:val="404040" w:themeColor="text1" w:themeTint="BF"/>
        </w:rPr>
        <w:t>1st Q</w:t>
      </w:r>
      <w:r w:rsidR="00F14D2E" w:rsidRPr="00A77350">
        <w:rPr>
          <w:color w:val="404040" w:themeColor="text1" w:themeTint="BF"/>
        </w:rPr>
        <w:t>uarter (January –</w:t>
      </w:r>
      <w:r w:rsidR="004520DB" w:rsidRPr="00A77350">
        <w:rPr>
          <w:color w:val="404040" w:themeColor="text1" w:themeTint="BF"/>
        </w:rPr>
        <w:t xml:space="preserve"> March)</w:t>
      </w:r>
      <w:r w:rsidR="004520DB" w:rsidRPr="00A77350">
        <w:rPr>
          <w:color w:val="404040" w:themeColor="text1" w:themeTint="BF"/>
        </w:rPr>
        <w:tab/>
        <w:t>due April 30</w:t>
      </w:r>
      <w:r w:rsidRPr="00A77350">
        <w:rPr>
          <w:color w:val="404040" w:themeColor="text1" w:themeTint="BF"/>
        </w:rPr>
        <w:t xml:space="preserve"> </w:t>
      </w:r>
    </w:p>
    <w:p w14:paraId="2E8477BE" w14:textId="029B076F" w:rsidR="00A91C52" w:rsidRPr="00A77350" w:rsidRDefault="00A91C52" w:rsidP="004520DB">
      <w:pPr>
        <w:pStyle w:val="NoSpacing"/>
        <w:tabs>
          <w:tab w:val="left" w:leader="dot" w:pos="5040"/>
          <w:tab w:val="decimal" w:leader="dot" w:pos="5760"/>
        </w:tabs>
        <w:ind w:left="720" w:firstLine="720"/>
        <w:rPr>
          <w:color w:val="404040" w:themeColor="text1" w:themeTint="BF"/>
        </w:rPr>
      </w:pPr>
      <w:r w:rsidRPr="00A77350">
        <w:rPr>
          <w:color w:val="404040" w:themeColor="text1" w:themeTint="BF"/>
        </w:rPr>
        <w:t>2nd Quarter (April</w:t>
      </w:r>
      <w:r w:rsidR="00292C52" w:rsidRPr="00A77350">
        <w:rPr>
          <w:color w:val="404040" w:themeColor="text1" w:themeTint="BF"/>
        </w:rPr>
        <w:t xml:space="preserve"> - June)</w:t>
      </w:r>
      <w:r w:rsidR="004520DB" w:rsidRPr="00A77350">
        <w:rPr>
          <w:color w:val="404040" w:themeColor="text1" w:themeTint="BF"/>
        </w:rPr>
        <w:tab/>
        <w:t>due July 31</w:t>
      </w:r>
    </w:p>
    <w:p w14:paraId="2AF27EF4" w14:textId="474DD2D2" w:rsidR="00A91C52" w:rsidRPr="00A77350" w:rsidRDefault="00A91C52" w:rsidP="004520DB">
      <w:pPr>
        <w:pStyle w:val="NoSpacing"/>
        <w:tabs>
          <w:tab w:val="left" w:leader="dot" w:pos="5040"/>
          <w:tab w:val="left" w:leader="dot" w:pos="5760"/>
        </w:tabs>
        <w:ind w:left="720" w:firstLine="720"/>
        <w:rPr>
          <w:color w:val="404040" w:themeColor="text1" w:themeTint="BF"/>
        </w:rPr>
      </w:pPr>
      <w:r w:rsidRPr="00A77350">
        <w:rPr>
          <w:color w:val="404040" w:themeColor="text1" w:themeTint="BF"/>
        </w:rPr>
        <w:t xml:space="preserve">3rd Quarter </w:t>
      </w:r>
      <w:r w:rsidR="004520DB" w:rsidRPr="00A77350">
        <w:rPr>
          <w:color w:val="404040" w:themeColor="text1" w:themeTint="BF"/>
        </w:rPr>
        <w:t>(July – September)</w:t>
      </w:r>
      <w:r w:rsidR="004520DB" w:rsidRPr="00A77350">
        <w:rPr>
          <w:color w:val="404040" w:themeColor="text1" w:themeTint="BF"/>
        </w:rPr>
        <w:tab/>
        <w:t>due October 31</w:t>
      </w:r>
    </w:p>
    <w:p w14:paraId="33FD22B2" w14:textId="3CBAE01B" w:rsidR="00A91C52" w:rsidRPr="00A77350" w:rsidRDefault="00A91C52" w:rsidP="004520DB">
      <w:pPr>
        <w:pStyle w:val="NoSpacing"/>
        <w:tabs>
          <w:tab w:val="left" w:leader="dot" w:pos="5040"/>
        </w:tabs>
        <w:ind w:left="720" w:firstLine="720"/>
        <w:rPr>
          <w:color w:val="404040" w:themeColor="text1" w:themeTint="BF"/>
        </w:rPr>
      </w:pPr>
      <w:r w:rsidRPr="00A77350">
        <w:rPr>
          <w:color w:val="404040" w:themeColor="text1" w:themeTint="BF"/>
        </w:rPr>
        <w:t xml:space="preserve">4th Quarter </w:t>
      </w:r>
      <w:r w:rsidR="00292C52" w:rsidRPr="00A77350">
        <w:rPr>
          <w:color w:val="404040" w:themeColor="text1" w:themeTint="BF"/>
        </w:rPr>
        <w:t>(October - December)</w:t>
      </w:r>
      <w:r w:rsidR="004520DB" w:rsidRPr="00A77350">
        <w:rPr>
          <w:color w:val="404040" w:themeColor="text1" w:themeTint="BF"/>
        </w:rPr>
        <w:tab/>
        <w:t>January 31</w:t>
      </w:r>
    </w:p>
    <w:p w14:paraId="1128C828" w14:textId="77777777" w:rsidR="00A91C52" w:rsidRPr="00A77350" w:rsidRDefault="00A91C52" w:rsidP="00F14D2E">
      <w:pPr>
        <w:pStyle w:val="NoSpacing"/>
        <w:rPr>
          <w:color w:val="404040" w:themeColor="text1" w:themeTint="BF"/>
        </w:rPr>
      </w:pPr>
    </w:p>
    <w:p w14:paraId="64935090" w14:textId="77777777" w:rsidR="00A91C52" w:rsidRPr="00A77350" w:rsidRDefault="00A91C52" w:rsidP="00F14D2E">
      <w:pPr>
        <w:pStyle w:val="NoSpacing"/>
        <w:jc w:val="center"/>
        <w:rPr>
          <w:b/>
          <w:color w:val="404040" w:themeColor="text1" w:themeTint="BF"/>
          <w:highlight w:val="green"/>
        </w:rPr>
      </w:pPr>
      <w:r w:rsidRPr="00A77350">
        <w:rPr>
          <w:b/>
          <w:color w:val="404040" w:themeColor="text1" w:themeTint="BF"/>
          <w:highlight w:val="green"/>
        </w:rPr>
        <w:t xml:space="preserve">ATTENTION: The Total Workforce Listing for 2nd Quarter 2019 is due on July 31, 2019. Online submissions may be emailed to </w:t>
      </w:r>
      <w:hyperlink r:id="rId12" w:history="1">
        <w:r w:rsidRPr="00A77350">
          <w:rPr>
            <w:rStyle w:val="Hyperlink"/>
            <w:b/>
            <w:color w:val="404040" w:themeColor="text1" w:themeTint="BF"/>
            <w:highlight w:val="green"/>
          </w:rPr>
          <w:t>documents@marianaslabor.net</w:t>
        </w:r>
      </w:hyperlink>
      <w:r w:rsidRPr="00A77350">
        <w:rPr>
          <w:b/>
          <w:color w:val="404040" w:themeColor="text1" w:themeTint="BF"/>
          <w:highlight w:val="green"/>
        </w:rPr>
        <w:t xml:space="preserve"> or dropped off at the Department of Labor’s Administrative Services Building in Capitol Hill.</w:t>
      </w:r>
    </w:p>
    <w:p w14:paraId="0286A0B3" w14:textId="77777777" w:rsidR="00A91C52" w:rsidRPr="00A77350" w:rsidRDefault="00A91C52" w:rsidP="00F14D2E">
      <w:pPr>
        <w:pStyle w:val="NoSpacing"/>
        <w:rPr>
          <w:b/>
          <w:color w:val="404040" w:themeColor="text1" w:themeTint="BF"/>
          <w:highlight w:val="yellow"/>
        </w:rPr>
      </w:pPr>
    </w:p>
    <w:p w14:paraId="01CF943A" w14:textId="77777777" w:rsidR="00A91C52" w:rsidRPr="00A77350" w:rsidRDefault="00A91C52" w:rsidP="00F14D2E">
      <w:pPr>
        <w:pStyle w:val="NoSpacing"/>
        <w:numPr>
          <w:ilvl w:val="0"/>
          <w:numId w:val="6"/>
        </w:numPr>
        <w:ind w:left="360"/>
        <w:rPr>
          <w:b/>
          <w:color w:val="404040" w:themeColor="text1" w:themeTint="BF"/>
          <w:u w:val="single"/>
        </w:rPr>
      </w:pPr>
      <w:r w:rsidRPr="00A77350">
        <w:rPr>
          <w:b/>
          <w:color w:val="404040" w:themeColor="text1" w:themeTint="BF"/>
          <w:u w:val="single"/>
        </w:rPr>
        <w:t>Adhere to Workforce Participation Minimum Percentage Requirement</w:t>
      </w:r>
    </w:p>
    <w:p w14:paraId="13761419" w14:textId="77777777" w:rsidR="00A91C52" w:rsidRPr="00A77350" w:rsidRDefault="00A91C52" w:rsidP="00F14D2E">
      <w:pPr>
        <w:pStyle w:val="NoSpacing"/>
        <w:rPr>
          <w:color w:val="404040" w:themeColor="text1" w:themeTint="BF"/>
        </w:rPr>
      </w:pPr>
      <w:r w:rsidRPr="00A77350">
        <w:rPr>
          <w:color w:val="404040" w:themeColor="text1" w:themeTint="BF"/>
        </w:rPr>
        <w:t xml:space="preserve">Any employer, unless exempt, who employs workers on a full-time basis must certify that 30% or more of its full-time employees are U.S. citizens, U.S. permanent residents, and/or CNMI permanent residents. </w:t>
      </w:r>
      <w:r w:rsidRPr="00A77350">
        <w:rPr>
          <w:i/>
          <w:color w:val="404040" w:themeColor="text1" w:themeTint="BF"/>
        </w:rPr>
        <w:t>3 CMC § 4525 and NMIAC § 80-20.1-210(c)(3).</w:t>
      </w:r>
      <w:r w:rsidRPr="00A77350">
        <w:rPr>
          <w:color w:val="404040" w:themeColor="text1" w:themeTint="BF"/>
        </w:rPr>
        <w:t xml:space="preserve"> Failure to maintain a minimum percentage of 30% will result in a Notice of Violation filed against the employer.</w:t>
      </w:r>
    </w:p>
    <w:p w14:paraId="33EDAED6" w14:textId="77777777" w:rsidR="00A91C52" w:rsidRPr="00A77350" w:rsidRDefault="00A91C52" w:rsidP="00F14D2E">
      <w:pPr>
        <w:pStyle w:val="NoSpacing"/>
        <w:rPr>
          <w:color w:val="404040" w:themeColor="text1" w:themeTint="BF"/>
        </w:rPr>
      </w:pPr>
    </w:p>
    <w:p w14:paraId="40591CF4" w14:textId="77777777" w:rsidR="00A91C52" w:rsidRPr="00A77350" w:rsidRDefault="00A91C52" w:rsidP="00F14D2E">
      <w:pPr>
        <w:pStyle w:val="NoSpacing"/>
        <w:numPr>
          <w:ilvl w:val="0"/>
          <w:numId w:val="6"/>
        </w:numPr>
        <w:ind w:left="360"/>
        <w:rPr>
          <w:b/>
          <w:color w:val="404040" w:themeColor="text1" w:themeTint="BF"/>
        </w:rPr>
      </w:pPr>
      <w:r w:rsidRPr="00A77350">
        <w:rPr>
          <w:b/>
          <w:color w:val="404040" w:themeColor="text1" w:themeTint="BF"/>
          <w:u w:val="single"/>
        </w:rPr>
        <w:t>Submit New or Updated Workforce Plan</w:t>
      </w:r>
    </w:p>
    <w:p w14:paraId="35B8A2C5" w14:textId="7D989994" w:rsidR="00A91C52" w:rsidRPr="00A77350" w:rsidRDefault="00A91C52" w:rsidP="00F14D2E">
      <w:pPr>
        <w:pStyle w:val="NoSpacing"/>
        <w:rPr>
          <w:color w:val="404040" w:themeColor="text1" w:themeTint="BF"/>
        </w:rPr>
      </w:pPr>
      <w:r w:rsidRPr="00A77350">
        <w:rPr>
          <w:color w:val="404040" w:themeColor="text1" w:themeTint="BF"/>
        </w:rPr>
        <w:t xml:space="preserve">All employers, unless exempt, who employ nonimmigrant alien workers, must submit a new or updated Workforce Plan </w:t>
      </w:r>
      <w:r w:rsidR="00F14D2E" w:rsidRPr="00A77350">
        <w:rPr>
          <w:color w:val="404040" w:themeColor="text1" w:themeTint="BF"/>
        </w:rPr>
        <w:t>within</w:t>
      </w:r>
      <w:r w:rsidRPr="00A77350">
        <w:rPr>
          <w:color w:val="404040" w:themeColor="text1" w:themeTint="BF"/>
        </w:rPr>
        <w:t xml:space="preserve"> twelve months. A workforce plan shall identify specific positions currently occupied by nonimmigrant aliens. The plan shall include a timetable for accomplishing the replacement of nonimmigrant aliens with qualified citizens, CNMI permanent residents, and U.S. permanent residents until the workforce participation objective is met. </w:t>
      </w:r>
      <w:r w:rsidRPr="00A77350">
        <w:rPr>
          <w:i/>
          <w:color w:val="404040" w:themeColor="text1" w:themeTint="BF"/>
        </w:rPr>
        <w:t>NMIAC § 80-20.1-510(b-c).</w:t>
      </w:r>
    </w:p>
    <w:p w14:paraId="07492926" w14:textId="77777777" w:rsidR="00A91C52" w:rsidRPr="00A77350" w:rsidRDefault="00A91C52" w:rsidP="00F14D2E">
      <w:pPr>
        <w:pStyle w:val="NoSpacing"/>
        <w:rPr>
          <w:color w:val="404040" w:themeColor="text1" w:themeTint="BF"/>
        </w:rPr>
      </w:pPr>
    </w:p>
    <w:p w14:paraId="39EAE518" w14:textId="147C9EA2" w:rsidR="00437DD6" w:rsidRPr="00A77350" w:rsidRDefault="00A91C52" w:rsidP="00F14D2E">
      <w:pPr>
        <w:pStyle w:val="NoSpacing"/>
        <w:rPr>
          <w:color w:val="404040" w:themeColor="text1" w:themeTint="BF"/>
        </w:rPr>
      </w:pPr>
      <w:r w:rsidRPr="00A77350">
        <w:rPr>
          <w:color w:val="404040" w:themeColor="text1" w:themeTint="BF"/>
        </w:rPr>
        <w:t xml:space="preserve">A workforce plan has as its objective an increase in the percentage of citizens, U.S. permanent residents, and CNMI permanent residents and the immediate relatives of citizens, U.S. permanent residents and CNMI permanent residents in the workforce of the employer. </w:t>
      </w:r>
      <w:r w:rsidRPr="00A77350">
        <w:rPr>
          <w:i/>
          <w:color w:val="404040" w:themeColor="text1" w:themeTint="BF"/>
        </w:rPr>
        <w:t>NMIAC § 80-20.1-510(a).</w:t>
      </w:r>
      <w:r w:rsidRPr="00A77350">
        <w:rPr>
          <w:color w:val="404040" w:themeColor="text1" w:themeTint="BF"/>
        </w:rPr>
        <w:t xml:space="preserve"> The Workforce Plan form is available on the CNMI DOL website under Forms &amp; Publications at www.marianaslabor.net.</w:t>
      </w:r>
    </w:p>
    <w:sectPr w:rsidR="00437DD6" w:rsidRPr="00A77350" w:rsidSect="00A77350">
      <w:pgSz w:w="12240" w:h="15840"/>
      <w:pgMar w:top="1080" w:right="1440" w:bottom="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1F9EE" w14:textId="77777777" w:rsidR="00827E0F" w:rsidRDefault="00827E0F" w:rsidP="00E20604">
      <w:r>
        <w:separator/>
      </w:r>
    </w:p>
  </w:endnote>
  <w:endnote w:type="continuationSeparator" w:id="0">
    <w:p w14:paraId="49EDE336" w14:textId="77777777" w:rsidR="00827E0F" w:rsidRDefault="00827E0F" w:rsidP="00E2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5FABD" w14:textId="77777777" w:rsidR="00827E0F" w:rsidRDefault="00827E0F" w:rsidP="00E20604">
      <w:r>
        <w:separator/>
      </w:r>
    </w:p>
  </w:footnote>
  <w:footnote w:type="continuationSeparator" w:id="0">
    <w:p w14:paraId="761D19AE" w14:textId="77777777" w:rsidR="00827E0F" w:rsidRDefault="00827E0F" w:rsidP="00E206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3FA"/>
    <w:multiLevelType w:val="hybridMultilevel"/>
    <w:tmpl w:val="2D88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069E"/>
    <w:multiLevelType w:val="hybridMultilevel"/>
    <w:tmpl w:val="4850AE06"/>
    <w:lvl w:ilvl="0" w:tplc="0250100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4F193952"/>
    <w:multiLevelType w:val="hybridMultilevel"/>
    <w:tmpl w:val="784A3A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3942D97"/>
    <w:multiLevelType w:val="hybridMultilevel"/>
    <w:tmpl w:val="E790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80207"/>
    <w:multiLevelType w:val="hybridMultilevel"/>
    <w:tmpl w:val="E07A3964"/>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5D7234F4"/>
    <w:multiLevelType w:val="hybridMultilevel"/>
    <w:tmpl w:val="A6549068"/>
    <w:lvl w:ilvl="0" w:tplc="D9AE902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Ith6VEmFKKRcUxB0cbH4OQZvgBHJfx86KRzUNfrGihlbq0E7aCjYJ+dWCvDxfPA6BU0ofeMj3OBU9hRU6UqCQ==" w:salt="mkDExf/kt6vSIDMfy0Kv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04"/>
    <w:rsid w:val="000073C5"/>
    <w:rsid w:val="000201FA"/>
    <w:rsid w:val="000474F5"/>
    <w:rsid w:val="000612FD"/>
    <w:rsid w:val="000613F2"/>
    <w:rsid w:val="00063F7B"/>
    <w:rsid w:val="000675D2"/>
    <w:rsid w:val="000811E0"/>
    <w:rsid w:val="00082326"/>
    <w:rsid w:val="000859D4"/>
    <w:rsid w:val="000A2A8E"/>
    <w:rsid w:val="000A345A"/>
    <w:rsid w:val="000A388A"/>
    <w:rsid w:val="000A4532"/>
    <w:rsid w:val="000B7F38"/>
    <w:rsid w:val="000D2326"/>
    <w:rsid w:val="000E2818"/>
    <w:rsid w:val="00106142"/>
    <w:rsid w:val="0010764B"/>
    <w:rsid w:val="00121EF3"/>
    <w:rsid w:val="001257F9"/>
    <w:rsid w:val="00146382"/>
    <w:rsid w:val="00147A88"/>
    <w:rsid w:val="00153095"/>
    <w:rsid w:val="00156FCB"/>
    <w:rsid w:val="00187B0B"/>
    <w:rsid w:val="0019113E"/>
    <w:rsid w:val="0019186A"/>
    <w:rsid w:val="001925C5"/>
    <w:rsid w:val="00193402"/>
    <w:rsid w:val="001B6567"/>
    <w:rsid w:val="00214FE4"/>
    <w:rsid w:val="00216D00"/>
    <w:rsid w:val="002411E1"/>
    <w:rsid w:val="00246A39"/>
    <w:rsid w:val="00246DCE"/>
    <w:rsid w:val="00250AE8"/>
    <w:rsid w:val="00251847"/>
    <w:rsid w:val="002629D9"/>
    <w:rsid w:val="00265119"/>
    <w:rsid w:val="00292C52"/>
    <w:rsid w:val="0029604B"/>
    <w:rsid w:val="002A6DF8"/>
    <w:rsid w:val="002C0721"/>
    <w:rsid w:val="002C15A4"/>
    <w:rsid w:val="002D7D9D"/>
    <w:rsid w:val="002E3AA7"/>
    <w:rsid w:val="002E3AF1"/>
    <w:rsid w:val="002F176F"/>
    <w:rsid w:val="002F6FE8"/>
    <w:rsid w:val="00316FD2"/>
    <w:rsid w:val="003218E3"/>
    <w:rsid w:val="003228AB"/>
    <w:rsid w:val="00357496"/>
    <w:rsid w:val="00397278"/>
    <w:rsid w:val="003A3F80"/>
    <w:rsid w:val="003B3D58"/>
    <w:rsid w:val="003C2A8A"/>
    <w:rsid w:val="003C6C1A"/>
    <w:rsid w:val="003E68C6"/>
    <w:rsid w:val="003F0E01"/>
    <w:rsid w:val="00401672"/>
    <w:rsid w:val="0040443E"/>
    <w:rsid w:val="00422BA1"/>
    <w:rsid w:val="00437DD6"/>
    <w:rsid w:val="004520DB"/>
    <w:rsid w:val="00491F32"/>
    <w:rsid w:val="004946A4"/>
    <w:rsid w:val="004A41B2"/>
    <w:rsid w:val="004A5643"/>
    <w:rsid w:val="004B433A"/>
    <w:rsid w:val="004E07A0"/>
    <w:rsid w:val="004F1BF6"/>
    <w:rsid w:val="00503797"/>
    <w:rsid w:val="00533C81"/>
    <w:rsid w:val="00535628"/>
    <w:rsid w:val="0054579D"/>
    <w:rsid w:val="00546D0E"/>
    <w:rsid w:val="00564827"/>
    <w:rsid w:val="00572C4E"/>
    <w:rsid w:val="00574FCE"/>
    <w:rsid w:val="00585A2D"/>
    <w:rsid w:val="005B32AC"/>
    <w:rsid w:val="005C4792"/>
    <w:rsid w:val="005C5800"/>
    <w:rsid w:val="005D7572"/>
    <w:rsid w:val="005E0FFD"/>
    <w:rsid w:val="005F7340"/>
    <w:rsid w:val="00616CBB"/>
    <w:rsid w:val="00640C93"/>
    <w:rsid w:val="0064331A"/>
    <w:rsid w:val="006436D0"/>
    <w:rsid w:val="00667EC0"/>
    <w:rsid w:val="006708C6"/>
    <w:rsid w:val="006A2577"/>
    <w:rsid w:val="006B31C5"/>
    <w:rsid w:val="006B7A80"/>
    <w:rsid w:val="006C48D4"/>
    <w:rsid w:val="006D5420"/>
    <w:rsid w:val="006F1860"/>
    <w:rsid w:val="00722948"/>
    <w:rsid w:val="0072296B"/>
    <w:rsid w:val="00732815"/>
    <w:rsid w:val="00736F54"/>
    <w:rsid w:val="0074120B"/>
    <w:rsid w:val="00746CA0"/>
    <w:rsid w:val="00756A08"/>
    <w:rsid w:val="00775B5E"/>
    <w:rsid w:val="007A37F3"/>
    <w:rsid w:val="007B5DDC"/>
    <w:rsid w:val="007C412C"/>
    <w:rsid w:val="0082439A"/>
    <w:rsid w:val="00827E0F"/>
    <w:rsid w:val="00845D94"/>
    <w:rsid w:val="0085512E"/>
    <w:rsid w:val="00860A37"/>
    <w:rsid w:val="00873D03"/>
    <w:rsid w:val="0087613E"/>
    <w:rsid w:val="00885CF6"/>
    <w:rsid w:val="00893C03"/>
    <w:rsid w:val="008B0041"/>
    <w:rsid w:val="008B68C6"/>
    <w:rsid w:val="008B774A"/>
    <w:rsid w:val="008C0F10"/>
    <w:rsid w:val="008D5574"/>
    <w:rsid w:val="008E2696"/>
    <w:rsid w:val="008F183A"/>
    <w:rsid w:val="00901C43"/>
    <w:rsid w:val="00912BBD"/>
    <w:rsid w:val="00926A20"/>
    <w:rsid w:val="009632E2"/>
    <w:rsid w:val="009665B3"/>
    <w:rsid w:val="00967763"/>
    <w:rsid w:val="00990A0E"/>
    <w:rsid w:val="0099102B"/>
    <w:rsid w:val="00994A7C"/>
    <w:rsid w:val="009C1A24"/>
    <w:rsid w:val="009C6F2B"/>
    <w:rsid w:val="009D3499"/>
    <w:rsid w:val="009F314A"/>
    <w:rsid w:val="00A23879"/>
    <w:rsid w:val="00A30E40"/>
    <w:rsid w:val="00A35FA0"/>
    <w:rsid w:val="00A419E1"/>
    <w:rsid w:val="00A42653"/>
    <w:rsid w:val="00A62439"/>
    <w:rsid w:val="00A77350"/>
    <w:rsid w:val="00A86CD6"/>
    <w:rsid w:val="00A91BC7"/>
    <w:rsid w:val="00A91C52"/>
    <w:rsid w:val="00AB722C"/>
    <w:rsid w:val="00AC11C4"/>
    <w:rsid w:val="00AD059C"/>
    <w:rsid w:val="00AE688C"/>
    <w:rsid w:val="00AF0483"/>
    <w:rsid w:val="00B21457"/>
    <w:rsid w:val="00B33893"/>
    <w:rsid w:val="00B41801"/>
    <w:rsid w:val="00B43333"/>
    <w:rsid w:val="00B64FEE"/>
    <w:rsid w:val="00B6694D"/>
    <w:rsid w:val="00B75FC2"/>
    <w:rsid w:val="00B800F2"/>
    <w:rsid w:val="00B82C01"/>
    <w:rsid w:val="00B82E7C"/>
    <w:rsid w:val="00B915B2"/>
    <w:rsid w:val="00BA3414"/>
    <w:rsid w:val="00BB03BC"/>
    <w:rsid w:val="00BB7339"/>
    <w:rsid w:val="00BF5492"/>
    <w:rsid w:val="00BF7455"/>
    <w:rsid w:val="00C04E51"/>
    <w:rsid w:val="00C273BF"/>
    <w:rsid w:val="00C33D41"/>
    <w:rsid w:val="00C369D7"/>
    <w:rsid w:val="00C62C93"/>
    <w:rsid w:val="00C75258"/>
    <w:rsid w:val="00C91E91"/>
    <w:rsid w:val="00C94A48"/>
    <w:rsid w:val="00CB5AF4"/>
    <w:rsid w:val="00CC5687"/>
    <w:rsid w:val="00CC6769"/>
    <w:rsid w:val="00CE020D"/>
    <w:rsid w:val="00CE38B3"/>
    <w:rsid w:val="00D10987"/>
    <w:rsid w:val="00D11912"/>
    <w:rsid w:val="00D11A4F"/>
    <w:rsid w:val="00D20D18"/>
    <w:rsid w:val="00D307DC"/>
    <w:rsid w:val="00D33427"/>
    <w:rsid w:val="00D72D78"/>
    <w:rsid w:val="00D74B0C"/>
    <w:rsid w:val="00D8357E"/>
    <w:rsid w:val="00DA1ABA"/>
    <w:rsid w:val="00DB1D12"/>
    <w:rsid w:val="00DC1894"/>
    <w:rsid w:val="00DF3089"/>
    <w:rsid w:val="00E047E8"/>
    <w:rsid w:val="00E056C4"/>
    <w:rsid w:val="00E20604"/>
    <w:rsid w:val="00E27052"/>
    <w:rsid w:val="00E56E99"/>
    <w:rsid w:val="00E62D8D"/>
    <w:rsid w:val="00E63EBB"/>
    <w:rsid w:val="00E735C5"/>
    <w:rsid w:val="00E749A8"/>
    <w:rsid w:val="00E85E49"/>
    <w:rsid w:val="00EC47EC"/>
    <w:rsid w:val="00EE3812"/>
    <w:rsid w:val="00EE6111"/>
    <w:rsid w:val="00F14D2E"/>
    <w:rsid w:val="00F1527B"/>
    <w:rsid w:val="00F200B7"/>
    <w:rsid w:val="00F31DBD"/>
    <w:rsid w:val="00F76B91"/>
    <w:rsid w:val="00F80876"/>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358E7EA"/>
  <w15:docId w15:val="{70ABD4FD-D985-4504-A664-7750499F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60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20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20604"/>
    <w:pPr>
      <w:keepNext/>
      <w:outlineLvl w:val="1"/>
    </w:pPr>
    <w:rPr>
      <w:b/>
      <w:sz w:val="24"/>
    </w:rPr>
  </w:style>
  <w:style w:type="paragraph" w:styleId="Heading6">
    <w:name w:val="heading 6"/>
    <w:basedOn w:val="Normal"/>
    <w:next w:val="Normal"/>
    <w:link w:val="Heading6Char"/>
    <w:unhideWhenUsed/>
    <w:qFormat/>
    <w:rsid w:val="00E20604"/>
    <w:pPr>
      <w:keepNext/>
      <w:outlineLvl w:val="5"/>
    </w:pPr>
    <w:rPr>
      <w:rFonts w:ascii="Goudy Old Style" w:hAnsi="Goudy Old Style"/>
      <w:b/>
      <w:smallCaps/>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060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20604"/>
    <w:rPr>
      <w:rFonts w:ascii="Goudy Old Style" w:eastAsia="Times New Roman" w:hAnsi="Goudy Old Style" w:cs="Times New Roman"/>
      <w:b/>
      <w:smallCaps/>
      <w:color w:val="000080"/>
      <w:sz w:val="32"/>
      <w:szCs w:val="20"/>
    </w:rPr>
  </w:style>
  <w:style w:type="paragraph" w:styleId="Header">
    <w:name w:val="header"/>
    <w:basedOn w:val="Normal"/>
    <w:link w:val="HeaderChar"/>
    <w:unhideWhenUsed/>
    <w:rsid w:val="00E20604"/>
    <w:pPr>
      <w:tabs>
        <w:tab w:val="center" w:pos="4320"/>
        <w:tab w:val="right" w:pos="8640"/>
      </w:tabs>
    </w:pPr>
  </w:style>
  <w:style w:type="character" w:customStyle="1" w:styleId="HeaderChar">
    <w:name w:val="Header Char"/>
    <w:basedOn w:val="DefaultParagraphFont"/>
    <w:link w:val="Header"/>
    <w:rsid w:val="00E20604"/>
    <w:rPr>
      <w:rFonts w:ascii="Times New Roman" w:eastAsia="Times New Roman" w:hAnsi="Times New Roman" w:cs="Times New Roman"/>
      <w:sz w:val="20"/>
      <w:szCs w:val="20"/>
    </w:rPr>
  </w:style>
  <w:style w:type="paragraph" w:styleId="EnvelopeReturn">
    <w:name w:val="envelope return"/>
    <w:basedOn w:val="Normal"/>
    <w:unhideWhenUsed/>
    <w:rsid w:val="00E20604"/>
  </w:style>
  <w:style w:type="paragraph" w:styleId="Footer">
    <w:name w:val="footer"/>
    <w:basedOn w:val="Normal"/>
    <w:link w:val="FooterChar"/>
    <w:uiPriority w:val="99"/>
    <w:semiHidden/>
    <w:unhideWhenUsed/>
    <w:rsid w:val="00E20604"/>
    <w:pPr>
      <w:tabs>
        <w:tab w:val="center" w:pos="4680"/>
        <w:tab w:val="right" w:pos="9360"/>
      </w:tabs>
    </w:pPr>
  </w:style>
  <w:style w:type="character" w:customStyle="1" w:styleId="FooterChar">
    <w:name w:val="Footer Char"/>
    <w:basedOn w:val="DefaultParagraphFont"/>
    <w:link w:val="Footer"/>
    <w:uiPriority w:val="99"/>
    <w:semiHidden/>
    <w:rsid w:val="00E20604"/>
    <w:rPr>
      <w:rFonts w:ascii="Times New Roman" w:eastAsia="Times New Roman" w:hAnsi="Times New Roman" w:cs="Times New Roman"/>
      <w:sz w:val="20"/>
      <w:szCs w:val="20"/>
    </w:rPr>
  </w:style>
  <w:style w:type="paragraph" w:styleId="ListParagraph">
    <w:name w:val="List Paragraph"/>
    <w:basedOn w:val="Normal"/>
    <w:uiPriority w:val="34"/>
    <w:qFormat/>
    <w:rsid w:val="002F6FE8"/>
    <w:pPr>
      <w:ind w:left="720"/>
      <w:contextualSpacing/>
    </w:pPr>
  </w:style>
  <w:style w:type="paragraph" w:styleId="NoSpacing">
    <w:name w:val="No Spacing"/>
    <w:uiPriority w:val="1"/>
    <w:qFormat/>
    <w:rsid w:val="00616CBB"/>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6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04B"/>
    <w:rPr>
      <w:rFonts w:ascii="Segoe UI" w:eastAsia="Times New Roman" w:hAnsi="Segoe UI" w:cs="Segoe UI"/>
      <w:sz w:val="18"/>
      <w:szCs w:val="18"/>
    </w:rPr>
  </w:style>
  <w:style w:type="character" w:styleId="Hyperlink">
    <w:name w:val="Hyperlink"/>
    <w:basedOn w:val="DefaultParagraphFont"/>
    <w:uiPriority w:val="99"/>
    <w:unhideWhenUsed/>
    <w:rsid w:val="00A91C52"/>
    <w:rPr>
      <w:color w:val="0000FF" w:themeColor="hyperlink"/>
      <w:u w:val="single"/>
    </w:rPr>
  </w:style>
  <w:style w:type="paragraph" w:styleId="TOC1">
    <w:name w:val="toc 1"/>
    <w:basedOn w:val="Normal"/>
    <w:next w:val="Normal"/>
    <w:autoRedefine/>
    <w:uiPriority w:val="39"/>
    <w:unhideWhenUsed/>
    <w:rsid w:val="00292C52"/>
    <w:pPr>
      <w:spacing w:after="100"/>
    </w:pPr>
  </w:style>
  <w:style w:type="character" w:customStyle="1" w:styleId="Heading1Char">
    <w:name w:val="Heading 1 Char"/>
    <w:basedOn w:val="DefaultParagraphFont"/>
    <w:link w:val="Heading1"/>
    <w:uiPriority w:val="9"/>
    <w:rsid w:val="004520D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520DB"/>
    <w:pPr>
      <w:spacing w:line="259" w:lineRule="auto"/>
      <w:outlineLvl w:val="9"/>
    </w:pPr>
  </w:style>
  <w:style w:type="paragraph" w:styleId="TOC2">
    <w:name w:val="toc 2"/>
    <w:basedOn w:val="Normal"/>
    <w:next w:val="Normal"/>
    <w:autoRedefine/>
    <w:uiPriority w:val="39"/>
    <w:unhideWhenUsed/>
    <w:rsid w:val="004520DB"/>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4520DB"/>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cuments@marianaslabo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750A-B280-4837-AFBC-E3082F76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522</Words>
  <Characters>2979</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CNMI Government</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Jlloa</dc:creator>
  <cp:keywords/>
  <dc:description/>
  <cp:lastModifiedBy>ADMIN</cp:lastModifiedBy>
  <cp:revision>6</cp:revision>
  <cp:lastPrinted>2018-10-04T23:46:00Z</cp:lastPrinted>
  <dcterms:created xsi:type="dcterms:W3CDTF">2019-06-04T03:18:00Z</dcterms:created>
  <dcterms:modified xsi:type="dcterms:W3CDTF">2019-06-04T04:07:00Z</dcterms:modified>
</cp:coreProperties>
</file>